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2018年度新疆喀什地区英吉沙县农业局部门决算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1、贯彻执行国家和自治区关于农业和农村经济工作的方针、政策、法律、法规；参与拟定农村经济发展战略、重大经济政策、技术政策和产业政策；研究制定主管产业的有关行政规章并组织实施。</w:t>
      </w:r>
      <w:r>
        <w:rPr>
          <w:rFonts w:hint="eastAsia" w:ascii="仿宋_GB2312" w:eastAsia="仿宋_GB2312"/>
          <w:sz w:val="32"/>
          <w:szCs w:val="32"/>
        </w:rPr>
        <w:br w:type="textWrapping"/>
      </w:r>
      <w:r>
        <w:rPr>
          <w:rFonts w:hint="eastAsia" w:ascii="仿宋_GB2312" w:eastAsia="仿宋_GB2312"/>
          <w:sz w:val="32"/>
          <w:szCs w:val="32"/>
        </w:rPr>
        <w:t xml:space="preserve">    2、加强农业社会化服务体系建设和乡村集体经济组织合作经济组织建设，按照中央和自治区的要求，完善农村基本经营制度、政策，调节农村经济利益关系。指导、监督，减轻农民负担和耕地使用权的流转工作，按规定负责有关农业建设项目的管理，调控和管理农业专项发展。</w:t>
      </w:r>
      <w:r>
        <w:rPr>
          <w:rFonts w:hint="eastAsia" w:ascii="仿宋_GB2312" w:eastAsia="仿宋_GB2312"/>
          <w:sz w:val="32"/>
          <w:szCs w:val="32"/>
        </w:rPr>
        <w:br w:type="textWrapping"/>
      </w:r>
      <w:r>
        <w:rPr>
          <w:rFonts w:hint="eastAsia" w:ascii="仿宋_GB2312" w:eastAsia="仿宋_GB2312"/>
          <w:sz w:val="32"/>
          <w:szCs w:val="32"/>
        </w:rPr>
        <w:t xml:space="preserve">    3、加强农业行政执法力度，保证《农业法》、《农业技术推广法》及相关法令的实施，对农业生产、种子管理、植物检疫、农药管理等工作进行依法行政管理，确保农业执法有效实施。</w:t>
      </w:r>
      <w:r>
        <w:rPr>
          <w:rFonts w:hint="eastAsia" w:ascii="仿宋_GB2312" w:eastAsia="仿宋_GB2312"/>
          <w:sz w:val="32"/>
          <w:szCs w:val="32"/>
        </w:rPr>
        <w:br w:type="textWrapping"/>
      </w:r>
      <w:r>
        <w:rPr>
          <w:rFonts w:hint="eastAsia" w:ascii="仿宋_GB2312" w:eastAsia="仿宋_GB2312"/>
          <w:sz w:val="32"/>
          <w:szCs w:val="32"/>
        </w:rPr>
        <w:t xml:space="preserve">    4、指导农村经济组织的建设与发展；指导农村联产承包责任制和双层经营体制的完善；指导乡村集体经济组织的管理工作；指导农村承包合同管理，负责减轻农民负担工作的监督管理；协调农村内部各种经济利益关系等。</w:t>
      </w:r>
      <w:r>
        <w:rPr>
          <w:rFonts w:hint="eastAsia" w:ascii="仿宋_GB2312" w:eastAsia="仿宋_GB2312"/>
          <w:sz w:val="32"/>
          <w:szCs w:val="32"/>
        </w:rPr>
        <w:br w:type="textWrapping"/>
      </w:r>
      <w:r>
        <w:rPr>
          <w:rFonts w:hint="eastAsia" w:ascii="仿宋_GB2312" w:eastAsia="仿宋_GB2312"/>
          <w:sz w:val="32"/>
          <w:szCs w:val="32"/>
        </w:rPr>
        <w:t xml:space="preserve">    5、编制主管产业的发展规划、计划并监督实施；负责产业的结构布局调整、资源配置和产业问题的综合平稳；组织和指导粮、棉及瓜果基地的开展建设；研究提出农用生产资料的需求计划；调控和管理农业专项发展资金。</w:t>
      </w:r>
      <w:r>
        <w:rPr>
          <w:rFonts w:hint="eastAsia" w:ascii="仿宋_GB2312" w:eastAsia="仿宋_GB2312"/>
          <w:sz w:val="32"/>
          <w:szCs w:val="32"/>
        </w:rPr>
        <w:br w:type="textWrapping"/>
      </w:r>
      <w:r>
        <w:rPr>
          <w:rFonts w:hint="eastAsia" w:ascii="仿宋_GB2312" w:eastAsia="仿宋_GB2312"/>
          <w:sz w:val="32"/>
          <w:szCs w:val="32"/>
        </w:rPr>
        <w:t xml:space="preserve">    6、研究制定农业科技、教育、技术推广规划和措施；组织协调重大农业科技项目的联合攻关、示范推广、成果鉴定；组织实施农业“丰收计划”；指导和协调农业科研、教育工作和农业服务体系建设以及国有农（园艺）场的工作。</w:t>
      </w:r>
      <w:r>
        <w:rPr>
          <w:rFonts w:hint="eastAsia" w:ascii="仿宋_GB2312" w:eastAsia="仿宋_GB2312"/>
          <w:sz w:val="32"/>
          <w:szCs w:val="32"/>
        </w:rPr>
        <w:br w:type="textWrapping"/>
      </w:r>
      <w:r>
        <w:rPr>
          <w:rFonts w:hint="eastAsia" w:ascii="仿宋_GB2312" w:eastAsia="仿宋_GB2312"/>
          <w:sz w:val="32"/>
          <w:szCs w:val="32"/>
        </w:rPr>
        <w:t xml:space="preserve">    7、协调有关部门实施主管产品的质量标准管理；负责农产品和有关农业投入品的质量监督管理；负责农业环境保护、农村能源建设和节能工作；负责绿色食品的标准认证及开发工作。</w:t>
      </w:r>
      <w:r>
        <w:rPr>
          <w:rFonts w:hint="eastAsia" w:ascii="仿宋_GB2312" w:eastAsia="仿宋_GB2312"/>
          <w:sz w:val="32"/>
          <w:szCs w:val="32"/>
        </w:rPr>
        <w:br w:type="textWrapping"/>
      </w:r>
      <w:r>
        <w:rPr>
          <w:rFonts w:hint="eastAsia" w:ascii="仿宋_GB2312" w:eastAsia="仿宋_GB2312"/>
          <w:sz w:val="32"/>
          <w:szCs w:val="32"/>
        </w:rPr>
        <w:t xml:space="preserve">    8、组织监督本县境内植物防疫、检疫工作，发布疫情并组织扑灭。</w:t>
      </w:r>
      <w:r>
        <w:rPr>
          <w:rFonts w:hint="eastAsia" w:ascii="仿宋_GB2312" w:eastAsia="仿宋_GB2312"/>
          <w:sz w:val="32"/>
          <w:szCs w:val="32"/>
        </w:rPr>
        <w:br w:type="textWrapping"/>
      </w:r>
      <w:r>
        <w:rPr>
          <w:rFonts w:hint="eastAsia" w:ascii="仿宋_GB2312" w:eastAsia="仿宋_GB2312"/>
          <w:sz w:val="32"/>
          <w:szCs w:val="32"/>
        </w:rPr>
        <w:t xml:space="preserve">    9、全面贯彻农业、资源区划，生态农业和农业可持续发展工作，指导农用地、宜农滩涂、宜农湿地，农村可再生有源的开展利用及农业生物物种资源的保护和管理。</w:t>
      </w:r>
      <w:r>
        <w:rPr>
          <w:rFonts w:hint="eastAsia" w:ascii="仿宋_GB2312" w:eastAsia="仿宋_GB2312"/>
          <w:sz w:val="32"/>
          <w:szCs w:val="32"/>
        </w:rPr>
        <w:br w:type="textWrapping"/>
      </w:r>
      <w:r>
        <w:rPr>
          <w:rFonts w:hint="eastAsia" w:ascii="仿宋_GB2312" w:eastAsia="仿宋_GB2312"/>
          <w:sz w:val="32"/>
          <w:szCs w:val="32"/>
        </w:rPr>
        <w:t xml:space="preserve">    10、完成县委、县人民政府交办的其它事项。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新疆喀什地区英吉沙县农业局</w:t>
      </w:r>
      <w:r>
        <w:rPr>
          <w:rFonts w:hint="eastAsia" w:ascii="仿宋_GB2312" w:eastAsia="仿宋_GB2312"/>
          <w:sz w:val="32"/>
          <w:szCs w:val="32"/>
        </w:rPr>
        <w:t>部门决算包括：</w:t>
      </w:r>
      <w:r>
        <w:rPr>
          <w:rFonts w:ascii="仿宋_GB2312" w:eastAsia="仿宋_GB2312"/>
          <w:sz w:val="32"/>
          <w:szCs w:val="32"/>
        </w:rPr>
        <w:t>新疆喀什地区英吉沙县农业局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新疆喀什地区英吉沙县农业局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新疆喀什地区英吉沙县农业局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2,545.82</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，与上年相比，增加583.02万元，增长29.7%，</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hint="eastAsia" w:ascii="仿宋_GB2312" w:eastAsia="仿宋_GB2312"/>
          <w:color w:val="000000" w:themeColor="text1"/>
          <w:sz w:val="32"/>
          <w:szCs w:val="32"/>
        </w:rPr>
        <w:t>2018年度项目支出有所增加；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2,545.82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，与上年相比，增加583.02万元，增长29.7%，</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hint="eastAsia" w:ascii="仿宋_GB2312" w:eastAsia="仿宋_GB2312"/>
          <w:color w:val="000000" w:themeColor="text1"/>
          <w:sz w:val="32"/>
          <w:szCs w:val="32"/>
        </w:rPr>
        <w:t>2018年度项目支出有所增加；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ascii="仿宋_GB2312" w:eastAsia="仿宋_GB2312"/>
          <w:color w:val="000000" w:themeColor="text1"/>
          <w:sz w:val="32"/>
          <w:szCs w:val="32"/>
        </w:rPr>
        <w:t>项目实施完毕本年无结余。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2,545.82</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2,459.25</w:t>
      </w:r>
      <w:r>
        <w:rPr>
          <w:rFonts w:hint="eastAsia" w:ascii="仿宋_GB2312" w:eastAsia="仿宋_GB2312"/>
          <w:color w:val="000000" w:themeColor="text1"/>
          <w:sz w:val="32"/>
          <w:szCs w:val="32"/>
        </w:rPr>
        <w:t>万元，占</w:t>
      </w:r>
      <w:r>
        <w:rPr>
          <w:rFonts w:hint="eastAsia" w:ascii="仿宋_GB2312" w:eastAsia="仿宋_GB2312"/>
          <w:sz w:val="32"/>
          <w:szCs w:val="32"/>
        </w:rPr>
        <w:t>96.6%</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86.57</w:t>
      </w:r>
      <w:r>
        <w:rPr>
          <w:rFonts w:hint="eastAsia" w:ascii="仿宋_GB2312" w:eastAsia="仿宋_GB2312"/>
          <w:color w:val="000000" w:themeColor="text1"/>
          <w:sz w:val="32"/>
          <w:szCs w:val="32"/>
        </w:rPr>
        <w:t>万元，占</w:t>
      </w:r>
      <w:r>
        <w:rPr>
          <w:rFonts w:hint="eastAsia" w:ascii="仿宋_GB2312" w:eastAsia="仿宋_GB2312"/>
          <w:sz w:val="32"/>
          <w:szCs w:val="32"/>
        </w:rPr>
        <w:t>3.4%</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况：本年收入年初预算数1,158.74万元</w:t>
      </w:r>
      <w:r>
        <w:rPr>
          <w:rFonts w:hint="eastAsia" w:ascii="仿宋_GB2312" w:eastAsia="仿宋_GB2312"/>
          <w:sz w:val="32"/>
          <w:szCs w:val="32"/>
        </w:rPr>
        <w:t>，决算数2,545.82万元</w:t>
      </w:r>
      <w:r>
        <w:rPr>
          <w:rFonts w:ascii="仿宋_GB2312" w:eastAsia="仿宋_GB2312"/>
          <w:sz w:val="32"/>
          <w:szCs w:val="32"/>
        </w:rPr>
        <w:t>，预决算差异率119.71%，差异主要原因是2018年度上级专项专项资金未纳入年初预算，年底决算时上级专项专项资金纳入年底决算。</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2,545.82</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167.65</w:t>
      </w:r>
      <w:r>
        <w:rPr>
          <w:rFonts w:hint="eastAsia" w:ascii="仿宋_GB2312" w:eastAsia="仿宋_GB2312"/>
          <w:color w:val="000000" w:themeColor="text1"/>
          <w:sz w:val="32"/>
          <w:szCs w:val="32"/>
        </w:rPr>
        <w:t>万元，占</w:t>
      </w:r>
      <w:r>
        <w:rPr>
          <w:rFonts w:hint="eastAsia" w:ascii="仿宋_GB2312" w:eastAsia="仿宋_GB2312"/>
          <w:sz w:val="32"/>
          <w:szCs w:val="32"/>
        </w:rPr>
        <w:t>6.59%</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2,378.18</w:t>
      </w:r>
      <w:r>
        <w:rPr>
          <w:rFonts w:hint="eastAsia" w:ascii="仿宋_GB2312" w:eastAsia="仿宋_GB2312"/>
          <w:color w:val="000000" w:themeColor="text1"/>
          <w:sz w:val="32"/>
          <w:szCs w:val="32"/>
        </w:rPr>
        <w:t>万元，占</w:t>
      </w:r>
      <w:r>
        <w:rPr>
          <w:rFonts w:hint="eastAsia" w:ascii="仿宋_GB2312" w:eastAsia="仿宋_GB2312"/>
          <w:sz w:val="32"/>
          <w:szCs w:val="32"/>
        </w:rPr>
        <w:t>93.42%</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与年初预算数相比情况：本年支出年初预算数1,158.74万元，</w:t>
      </w:r>
      <w:r>
        <w:rPr>
          <w:rFonts w:hint="eastAsia" w:ascii="仿宋_GB2312" w:eastAsia="仿宋_GB2312"/>
          <w:sz w:val="32"/>
          <w:szCs w:val="32"/>
        </w:rPr>
        <w:t>决算数2,545.82万元</w:t>
      </w:r>
      <w:r>
        <w:rPr>
          <w:rFonts w:ascii="仿宋_GB2312" w:eastAsia="仿宋_GB2312"/>
          <w:sz w:val="32"/>
          <w:szCs w:val="32"/>
        </w:rPr>
        <w:t>，预决算差异率119.71%，差异主要原因是2018年度上级专项专项资金未纳入年初预算，年底决算时上级专项专项资金纳入年底决算。</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2,459.25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，与上年相比，增加496.45万元，增长25.29%，</w:t>
      </w:r>
      <w:r>
        <w:rPr>
          <w:rFonts w:hint="eastAsia" w:ascii="仿宋_GB2312" w:eastAsia="仿宋_GB2312"/>
          <w:sz w:val="32"/>
          <w:szCs w:val="32"/>
          <w:lang w:val="en-US" w:eastAsia="zh-CN"/>
        </w:rPr>
        <w:t>增减变化</w:t>
      </w:r>
      <w:r>
        <w:rPr>
          <w:rFonts w:hint="eastAsia" w:ascii="仿宋_GB2312" w:eastAsia="仿宋_GB2312"/>
          <w:sz w:val="32"/>
          <w:szCs w:val="32"/>
        </w:rPr>
        <w:t>的主要原因是：2018年度项目支出有所增加。</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2,459.25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，与上年相比，增加496.45万元，增长25.29%，</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ascii="仿宋_GB2312" w:eastAsia="仿宋_GB2312"/>
          <w:sz w:val="32"/>
          <w:szCs w:val="32"/>
        </w:rPr>
        <w:t>2018年度项目支出有所增加。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167.65</w:t>
      </w:r>
      <w:r>
        <w:rPr>
          <w:rFonts w:hint="eastAsia" w:ascii="仿宋_GB2312" w:eastAsia="仿宋_GB2312"/>
          <w:color w:val="000000" w:themeColor="text1"/>
          <w:sz w:val="32"/>
          <w:szCs w:val="32"/>
        </w:rPr>
        <w:t>万元，项目支出</w:t>
      </w:r>
      <w:r>
        <w:rPr>
          <w:rFonts w:hint="eastAsia" w:ascii="仿宋_GB2312" w:eastAsia="仿宋_GB2312"/>
          <w:sz w:val="32"/>
          <w:szCs w:val="32"/>
        </w:rPr>
        <w:t>2,291.61</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增减变化</w:t>
      </w:r>
      <w:r>
        <w:rPr>
          <w:rFonts w:hint="eastAsia" w:ascii="仿宋_GB2312" w:eastAsia="仿宋_GB2312"/>
          <w:sz w:val="32"/>
          <w:szCs w:val="32"/>
        </w:rPr>
        <w:t>的主要原因是：项目实施完毕本年无结余。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1,158.74</w:t>
      </w:r>
      <w:r>
        <w:rPr>
          <w:rFonts w:hint="eastAsia" w:ascii="仿宋_GB2312" w:eastAsia="仿宋_GB2312"/>
          <w:color w:val="000000" w:themeColor="text1"/>
          <w:sz w:val="32"/>
          <w:szCs w:val="32"/>
        </w:rPr>
        <w:t>万元，决算数</w:t>
      </w:r>
      <w:r>
        <w:rPr>
          <w:rFonts w:hint="eastAsia" w:ascii="仿宋_GB2312" w:eastAsia="仿宋_GB2312"/>
          <w:sz w:val="32"/>
          <w:szCs w:val="32"/>
        </w:rPr>
        <w:t>2,459.25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，预决算差异率112.23%，差异主要原因是2018年度上级专项专项资金未纳入年初预算，年底决算时上级专项专项资金纳入年底决算。</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1,158.74</w:t>
      </w:r>
      <w:r>
        <w:rPr>
          <w:rFonts w:hint="eastAsia" w:ascii="仿宋_GB2312" w:eastAsia="仿宋_GB2312"/>
          <w:color w:val="000000" w:themeColor="text1"/>
          <w:sz w:val="32"/>
          <w:szCs w:val="32"/>
        </w:rPr>
        <w:t>万元，决算数</w:t>
      </w:r>
      <w:r>
        <w:rPr>
          <w:rFonts w:hint="eastAsia" w:ascii="仿宋_GB2312" w:eastAsia="仿宋_GB2312"/>
          <w:sz w:val="32"/>
          <w:szCs w:val="32"/>
        </w:rPr>
        <w:t>2,459.25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，预决算差异率112.23%，差异主要原因是2018年度上级专项专项资金未纳入年初预算，年底决算时上级专项专项资金纳入年底决算。</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2,459.25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，与上年相比，增加496.45万元，增长25.29%，</w:t>
      </w:r>
      <w:r>
        <w:rPr>
          <w:rFonts w:hint="eastAsia" w:ascii="仿宋_GB2312" w:eastAsia="仿宋_GB2312"/>
          <w:sz w:val="32"/>
          <w:szCs w:val="32"/>
          <w:lang w:val="en-US" w:eastAsia="zh-CN"/>
        </w:rPr>
        <w:t>增减变化</w:t>
      </w:r>
      <w:r>
        <w:rPr>
          <w:rFonts w:hint="eastAsia" w:ascii="仿宋_GB2312" w:eastAsia="仿宋_GB2312"/>
          <w:sz w:val="32"/>
          <w:szCs w:val="32"/>
        </w:rPr>
        <w:t>的主要原因是：</w:t>
      </w:r>
      <w:r>
        <w:rPr>
          <w:rFonts w:ascii="仿宋_GB2312" w:eastAsia="仿宋_GB2312"/>
          <w:color w:val="000000" w:themeColor="text1"/>
          <w:sz w:val="32"/>
          <w:szCs w:val="32"/>
        </w:rPr>
        <w:t>2018年度项目支出有所增加。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2,459.25</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，与上年相比，增加496.45万元，增长25.29%，</w:t>
      </w:r>
      <w:r>
        <w:rPr>
          <w:rFonts w:hint="eastAsia" w:ascii="仿宋_GB2312" w:eastAsia="仿宋_GB2312"/>
          <w:sz w:val="32"/>
          <w:szCs w:val="32"/>
          <w:lang w:val="en-US" w:eastAsia="zh-CN"/>
        </w:rPr>
        <w:t>增减变化</w:t>
      </w:r>
      <w:r>
        <w:rPr>
          <w:rFonts w:hint="eastAsia" w:ascii="仿宋_GB2312" w:eastAsia="仿宋_GB2312"/>
          <w:sz w:val="32"/>
          <w:szCs w:val="32"/>
        </w:rPr>
        <w:t>的主要原因是：2018年度项目支出有所增加。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住房保障支出7.08万元,农林水支出2,441.36万元,社会保障和就业支出10.81万元。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工资福利支出129.78万元,商品和服务支出1,391.31万元,对个人和家庭的补助37.08万元,资本性支出（基本建设）901.08万元。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1,158.74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2,459.25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，预决算差异率112.23%，差异主要原因是2018年度上级专项专项资金未纳入年初预算，年底决算时上级专项专项资金纳入年底决算。</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1,158.74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2,459.25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，预决算差异率112.23%，差异主要原因是2018年度上级专项专项资金未纳入年初预算，年底决算时上级专项专项资金纳入年底决算。</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增减变化</w:t>
      </w:r>
      <w:r>
        <w:rPr>
          <w:rFonts w:hint="eastAsia" w:ascii="仿宋_GB2312" w:eastAsia="仿宋_GB2312"/>
          <w:sz w:val="32"/>
          <w:szCs w:val="32"/>
        </w:rPr>
        <w:t>的主要原因是：本年度没有安排政府性基金。</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增减变化</w:t>
      </w:r>
      <w:r>
        <w:rPr>
          <w:rFonts w:hint="eastAsia" w:ascii="仿宋_GB2312" w:eastAsia="仿宋_GB2312"/>
          <w:sz w:val="32"/>
          <w:szCs w:val="32"/>
        </w:rPr>
        <w:t>的主要原因是：本年度没有安排政府性基金。</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val="en-US" w:eastAsia="zh-CN"/>
        </w:rPr>
        <w:t>0万元</w:t>
      </w:r>
      <w:r>
        <w:rPr>
          <w:rFonts w:hint="eastAsia" w:ascii="仿宋_GB2312" w:eastAsia="仿宋_GB2312"/>
          <w:color w:val="000000" w:themeColor="text1"/>
          <w:sz w:val="32"/>
          <w:szCs w:val="32"/>
        </w:rPr>
        <w:t>。按经济分类科目（按类级科目公开），</w:t>
      </w:r>
      <w:r>
        <w:rPr>
          <w:rFonts w:hint="eastAsia" w:ascii="仿宋_GB2312" w:eastAsia="仿宋_GB2312"/>
          <w:color w:val="000000" w:themeColor="text1"/>
          <w:sz w:val="32"/>
          <w:szCs w:val="32"/>
          <w:lang w:val="en-US" w:eastAsia="zh-CN"/>
        </w:rPr>
        <w:t>0万元</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，预决算差异率0%，差异主要原因是本年度没有安排政府性基金。</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，预决算差异率0%，差异主要原因是本年度没有安排政府性基金。</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hint="eastAsia" w:ascii="仿宋_GB2312" w:eastAsia="仿宋_GB2312"/>
          <w:sz w:val="32"/>
          <w:szCs w:val="32"/>
          <w:lang w:eastAsia="zh-CN"/>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eastAsia="zh-CN"/>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增加</w:t>
      </w:r>
      <w:r>
        <w:rPr>
          <w:rFonts w:hint="eastAsia" w:ascii="仿宋_GB2312" w:eastAsia="仿宋_GB2312"/>
          <w:sz w:val="32"/>
          <w:szCs w:val="32"/>
        </w:rPr>
        <w:t>原因是：三公经费在事业单位体现，本级三公经费不反映。</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增加</w:t>
      </w:r>
      <w:r>
        <w:rPr>
          <w:rFonts w:hint="eastAsia" w:ascii="仿宋_GB2312" w:eastAsia="仿宋_GB2312"/>
          <w:sz w:val="32"/>
          <w:szCs w:val="32"/>
        </w:rPr>
        <w:t>原因是：三公经费在事业单位体现，本级三公经费不反映；</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增加</w:t>
      </w:r>
      <w:r>
        <w:rPr>
          <w:rFonts w:hint="eastAsia" w:ascii="仿宋_GB2312" w:eastAsia="仿宋_GB2312"/>
          <w:sz w:val="32"/>
          <w:szCs w:val="32"/>
        </w:rPr>
        <w:t>原因是：三公经费在事业单位体现，本级三公经费不反映；</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sz w:val="32"/>
          <w:szCs w:val="32"/>
          <w:lang w:val="en-US" w:eastAsia="zh-CN"/>
        </w:rPr>
        <w:t>增加</w:t>
      </w:r>
      <w:r>
        <w:rPr>
          <w:rFonts w:hint="eastAsia" w:ascii="仿宋_GB2312" w:eastAsia="仿宋_GB2312"/>
          <w:sz w:val="32"/>
          <w:szCs w:val="32"/>
        </w:rPr>
        <w:t>原因是：三公经费在事业单位体现，本级三公经费不反映。</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新疆喀什地区英吉沙县农业局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三公经费在事业单位体现，本级三公经费不反映。</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三公经费在事业单位体现，本级三公经费不反映</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三公经费在事业单位体现，本级三公经费不反映</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新疆喀什地区英吉沙县农业局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，预决算差异率0%，差异主要原因是三公经费在事业单位体现，本级三公经费不反映。</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，预决算差异率0%，差异主要原因是三公经费在事业单位体现，本级三公经费不反映；</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，预决算差异率0%，差异主要原因是三公经费在事业单位体现，本级三公经费不反映；</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，预决算差异率0%，差异主要原因是三公经费在事业单位体现，本级三公经费不反映；</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三公经费在事业单位体现，本级三公经费不反映。</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2018年度新疆喀什地区英吉沙县农业局机关运行经费支出35.78万元，与上年相比，增加22.99万元，增长179.75%，</w:t>
      </w:r>
      <w:bookmarkStart w:id="92" w:name="_GoBack"/>
      <w:bookmarkEnd w:id="92"/>
      <w:r>
        <w:rPr>
          <w:rFonts w:hint="eastAsia" w:ascii="仿宋_GB2312" w:eastAsia="仿宋_GB2312"/>
          <w:color w:val="000000" w:themeColor="text1"/>
          <w:sz w:val="32"/>
          <w:szCs w:val="32"/>
        </w:rPr>
        <w:t>主要原因是：农经局2018年度清产核资经费拨入了农业局本级。</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1,141.22</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931.85</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209.37</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英吉沙县农业局2018年度部门预算总额为</w:t>
      </w:r>
      <w:r>
        <w:rPr>
          <w:rFonts w:hint="eastAsia" w:ascii="仿宋_GB2312" w:eastAsia="仿宋_GB2312"/>
          <w:sz w:val="32"/>
          <w:szCs w:val="32"/>
        </w:rPr>
        <w:t>2378.18</w:t>
      </w:r>
      <w:r>
        <w:rPr>
          <w:rFonts w:ascii="仿宋_GB2312" w:eastAsia="仿宋_GB2312"/>
          <w:sz w:val="32"/>
          <w:szCs w:val="32"/>
        </w:rPr>
        <w:t>万元，执行金额为</w:t>
      </w:r>
      <w:r>
        <w:rPr>
          <w:rFonts w:hint="eastAsia" w:ascii="仿宋_GB2312" w:eastAsia="仿宋_GB2312"/>
          <w:sz w:val="32"/>
          <w:szCs w:val="32"/>
        </w:rPr>
        <w:t>2378.18</w:t>
      </w:r>
      <w:r>
        <w:rPr>
          <w:rFonts w:ascii="仿宋_GB2312" w:eastAsia="仿宋_GB2312"/>
          <w:sz w:val="32"/>
          <w:szCs w:val="32"/>
        </w:rPr>
        <w:t>万元，预算执行率为100%。本次自评共涉及项目数4个，其中已完成项目4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英吉沙县以工代赈低产田改造建设12000亩项目绩效自评综述：根据年初设定的绩效目标，该项目绩效自评得分为90分。项目全年预算数为1,368.93万元，执行数为1,368.93万元，完成预算的100%。主要产出和效果：通过该项目的实施，灌溉水利用系数达到0.7，可节约劳动力1750人，灌溉水利用系数达到0.68，受益人口可达到5756人，该项目实施后每年节水56万立方米，节约的水量可用于当地生态林的灌溉，项目实施得到了当地群众的认可，有利于社会经济发展。发现的问题及原因：无。下一步改进措施： 一是全力加快项目进度，做好项目跟踪及监督管理工作，督促施工企业按照计划倒排工期，全力解决施工企业困难。我局于9月中旬下发正式协办通知到项目区乡人民政府及村委会，督促项目区农户于10月28日前将项目区地块种植作物清理完毕，督促施工企业在确保</w:t>
      </w:r>
      <w:r>
        <w:rPr>
          <w:rFonts w:hint="eastAsia" w:ascii="仿宋_GB2312" w:hAnsi="仿宋_GB2312" w:eastAsia="仿宋_GB2312" w:cs="仿宋_GB2312"/>
          <w:b w:val="0"/>
          <w:color w:val="000000"/>
          <w:sz w:val="32"/>
          <w:u w:val="none"/>
          <w:lang w:eastAsia="zh-CN"/>
        </w:rPr>
        <w:t>比较</w:t>
      </w:r>
      <w:r>
        <w:rPr>
          <w:rFonts w:ascii="仿宋_GB2312" w:hAnsi="仿宋_GB2312" w:eastAsia="仿宋_GB2312" w:cs="仿宋_GB2312"/>
          <w:b w:val="0"/>
          <w:color w:val="000000"/>
          <w:sz w:val="32"/>
          <w:u w:val="none"/>
        </w:rPr>
        <w:t>安全生产的前提下昼夜施工，坚决确保12月底项目完工。
二是督促项目区乡政府和村党工委向施工方提供能够参加项目劳动的建档立卡贫困人员名单，项目所在地的村党工委提供的建档立卡贫困劳动力无法满足项目建设时，由乡政府协调项目所在地周边村的建档立卡贫困劳动力进行务工。并与施工企业签订《以工代赈低产田改造项目中使用本地劳动力的承诺书》，要求企业在施工时能用人工的尽量不使用机械，确保贫困户劳务报酬足额发放。</w:t>
      </w:r>
    </w:p>
    <w:p>
      <w:pPr>
        <w:spacing w:line="540" w:lineRule="exact"/>
        <w:ind w:left="-1" w:right="-1" w:firstLine="646"/>
        <w:jc w:val="left"/>
      </w:pPr>
      <w:r>
        <w:rPr>
          <w:rFonts w:ascii="仿宋_GB2312" w:hAnsi="仿宋_GB2312" w:eastAsia="仿宋_GB2312" w:cs="仿宋_GB2312"/>
          <w:b w:val="0"/>
          <w:color w:val="000000"/>
          <w:sz w:val="32"/>
          <w:u w:val="none"/>
        </w:rPr>
        <w:t>2、英吉沙县2018年国有农场改革补助项目绩效自评综述：根据年初设定的绩效目标，该项目绩效自评得分为89分。项目全年预算数为35万元，执行数为35万元，完成预算的100%。主要产出和效果：在英吉沙县良种繁育场实施1万亩农作物（小麦、玉米、棉花）良种繁育技术试验推广工作，效果良好。发现的问题及原因：无。下一步改进措施： 良种繁育科技推广普及是一项长期连贯性的工作，效益受益期长，今后要加大对扶持良繁工作新技术、新品种引进、育种改良、推广普及工作的扶持力度。</w:t>
      </w:r>
    </w:p>
    <w:p>
      <w:pPr>
        <w:spacing w:line="540" w:lineRule="exact"/>
        <w:ind w:left="-1" w:right="-1" w:firstLine="646"/>
        <w:jc w:val="left"/>
      </w:pPr>
      <w:r>
        <w:rPr>
          <w:rFonts w:ascii="仿宋_GB2312" w:hAnsi="仿宋_GB2312" w:eastAsia="仿宋_GB2312" w:cs="仿宋_GB2312"/>
          <w:b w:val="0"/>
          <w:color w:val="000000"/>
          <w:sz w:val="32"/>
          <w:u w:val="none"/>
        </w:rPr>
        <w:t>3、英吉沙县2018年农产品产地初加工项目绩效自评综述：根据年初设定的绩效目标，该项目绩效自评得分为88分。项目全年预算数为874.24万元，执行数为874.24万元，完成预算的100%。主要产出和效果：通过实施英吉沙县2018年农产品产地加工补助项目，大力提高我县农副产品加工水平，为农民实现增收奠定了基础；有效改善了我县农业生态环境，促进农业生产增收、增效；激发了农民发展农产品加工的热情，为脱贫攻坚打下了坚实基础。发现的问题及原因：无下一步改进措施： 加大国库集中支付报账制管理的执行力度，更好地项目资金的动态管理的风险控制；加大项目监管力度。</w:t>
      </w:r>
    </w:p>
    <w:p>
      <w:pPr>
        <w:spacing w:line="540" w:lineRule="exact"/>
        <w:ind w:left="-1" w:right="-1" w:firstLine="646"/>
        <w:jc w:val="left"/>
      </w:pPr>
      <w:r>
        <w:rPr>
          <w:rFonts w:ascii="仿宋_GB2312" w:hAnsi="仿宋_GB2312" w:eastAsia="仿宋_GB2312" w:cs="仿宋_GB2312"/>
          <w:b w:val="0"/>
          <w:color w:val="000000"/>
          <w:sz w:val="32"/>
          <w:u w:val="none"/>
        </w:rPr>
        <w:t>4、英吉沙县2018年农业生产救灾资金项目绩效自评综述：根据年初设定的绩效目标，该项目绩效自评得分为90分。项目全年预算数为100万元，执行数为100万元，完成预算的100%。主要产出和效果：项目资金通过政府采购（询价采购方式）购买有效成分含量44%的三唑酮2800公斤、黑地膜19000公斤、磷酸二氢钾10000公斤、史丹利复合肥4400公斤根据各乡镇上报的受灾农户名单发放上述农资。发现的问题及原因：无。下一步改进措施： 加大国库集中支付报账制管理的执行力度，更好地项目资金的动态管理的风险控制；加大项目监管力度。</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213（类）05（款）05（项）指：生产发展。213（类）07（款）04（项）指：国有农场办社会职能改革补助。221（类）02（款）01（项）指：住房公积金。213（类）01（款）19（项）指：防灾救灾。213（类）05（款）04（项）指：农村基础设施建设。213（类）01（款）01（项）指：行政运行。213（类）01（款）35（项）指：农业资源保护修复与利用。208（类）05（款）05（项）指：机关事业单位基本养老保险缴费支出。213（类）01（款）22（项）指：农业生产支持补贴。</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英吉沙县农业局</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1" w:usb1="08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0E32F7C"/>
    <w:rsid w:val="11463A00"/>
    <w:rsid w:val="11600918"/>
    <w:rsid w:val="11B0398F"/>
    <w:rsid w:val="13B960C5"/>
    <w:rsid w:val="152777F4"/>
    <w:rsid w:val="15773A90"/>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2526E87"/>
    <w:rsid w:val="336D0D6F"/>
    <w:rsid w:val="337225A5"/>
    <w:rsid w:val="352E4BEC"/>
    <w:rsid w:val="37DD5594"/>
    <w:rsid w:val="385D65A1"/>
    <w:rsid w:val="38921309"/>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54776B"/>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5A61C4"/>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2021-06-04T14:49:22Z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8B950543CBAD4B00B30EA4E9927A954D</vt:lpwstr>
  </property>
</Properties>
</file>